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eastAsia="黑体"/>
          <w:sz w:val="32"/>
          <w:szCs w:val="48"/>
        </w:rPr>
      </w:pPr>
      <w:r>
        <w:rPr>
          <w:rFonts w:eastAsia="黑体"/>
          <w:sz w:val="32"/>
          <w:szCs w:val="48"/>
        </w:rPr>
        <w:t>附件</w:t>
      </w:r>
      <w:r>
        <w:rPr>
          <w:rFonts w:hint="eastAsia" w:eastAsia="黑体"/>
          <w:sz w:val="32"/>
          <w:szCs w:val="48"/>
        </w:rPr>
        <w:t>1</w:t>
      </w:r>
    </w:p>
    <w:p>
      <w:pPr>
        <w:spacing w:line="480" w:lineRule="exact"/>
        <w:jc w:val="center"/>
        <w:rPr>
          <w:rFonts w:eastAsia="楷体_GB2312"/>
          <w:b/>
          <w:sz w:val="24"/>
        </w:rPr>
      </w:pPr>
      <w:r>
        <w:rPr>
          <w:rFonts w:eastAsia="方正小标宋简体"/>
          <w:sz w:val="44"/>
          <w:szCs w:val="48"/>
        </w:rPr>
        <w:t>自治区青年拔尖人才考核评分表（样表）</w:t>
      </w:r>
    </w:p>
    <w:p>
      <w:pPr>
        <w:spacing w:line="380" w:lineRule="exact"/>
        <w:rPr>
          <w:rFonts w:eastAsia="楷体_GB2312"/>
          <w:b/>
          <w:sz w:val="24"/>
        </w:rPr>
      </w:pPr>
      <w:r>
        <w:rPr>
          <w:rFonts w:eastAsia="楷体_GB2312"/>
          <w:b/>
          <w:sz w:val="24"/>
        </w:rPr>
        <w:t xml:space="preserve">姓名：                                             单位：                                   测评时间： </w:t>
      </w:r>
      <w:r>
        <w:rPr>
          <w:rFonts w:hint="eastAsia" w:eastAsia="楷体_GB2312"/>
          <w:b/>
          <w:sz w:val="24"/>
        </w:rPr>
        <w:t xml:space="preserve"> </w:t>
      </w:r>
      <w:r>
        <w:rPr>
          <w:rFonts w:eastAsia="楷体_GB2312"/>
          <w:b/>
          <w:sz w:val="24"/>
        </w:rPr>
        <w:t xml:space="preserve"> 年 </w:t>
      </w:r>
      <w:r>
        <w:rPr>
          <w:rFonts w:hint="eastAsia" w:eastAsia="楷体_GB2312"/>
          <w:b/>
          <w:sz w:val="24"/>
        </w:rPr>
        <w:t xml:space="preserve"> </w:t>
      </w:r>
      <w:r>
        <w:rPr>
          <w:rFonts w:eastAsia="楷体_GB2312"/>
          <w:b/>
          <w:sz w:val="24"/>
        </w:rPr>
        <w:t xml:space="preserve"> 月</w:t>
      </w:r>
      <w:r>
        <w:rPr>
          <w:rFonts w:hint="eastAsia" w:eastAsia="楷体_GB2312"/>
          <w:b/>
          <w:sz w:val="24"/>
        </w:rPr>
        <w:t xml:space="preserve"> </w:t>
      </w:r>
      <w:r>
        <w:rPr>
          <w:rFonts w:eastAsia="楷体_GB2312"/>
          <w:b/>
          <w:sz w:val="24"/>
        </w:rPr>
        <w:t xml:space="preserve">  日</w:t>
      </w:r>
    </w:p>
    <w:tbl>
      <w:tblPr>
        <w:tblStyle w:val="6"/>
        <w:tblW w:w="14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989"/>
        <w:gridCol w:w="2410"/>
        <w:gridCol w:w="3190"/>
        <w:gridCol w:w="1873"/>
        <w:gridCol w:w="980"/>
        <w:gridCol w:w="1612"/>
        <w:gridCol w:w="2123"/>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1841" w:type="dxa"/>
            <w:gridSpan w:val="2"/>
            <w:vAlign w:val="center"/>
          </w:tcPr>
          <w:p>
            <w:pPr>
              <w:spacing w:line="380" w:lineRule="exact"/>
              <w:jc w:val="center"/>
              <w:rPr>
                <w:rFonts w:eastAsia="黑体"/>
                <w:b/>
                <w:bCs/>
                <w:sz w:val="28"/>
                <w:szCs w:val="21"/>
              </w:rPr>
            </w:pPr>
            <w:r>
              <w:rPr>
                <w:rFonts w:eastAsia="黑体"/>
                <w:b/>
                <w:bCs/>
                <w:sz w:val="28"/>
                <w:szCs w:val="21"/>
              </w:rPr>
              <w:t>考核要素</w:t>
            </w:r>
          </w:p>
        </w:tc>
        <w:tc>
          <w:tcPr>
            <w:tcW w:w="2410" w:type="dxa"/>
            <w:vAlign w:val="center"/>
          </w:tcPr>
          <w:p>
            <w:pPr>
              <w:spacing w:line="380" w:lineRule="exact"/>
              <w:jc w:val="center"/>
              <w:rPr>
                <w:rFonts w:eastAsia="黑体"/>
                <w:b/>
                <w:bCs/>
                <w:sz w:val="28"/>
                <w:szCs w:val="21"/>
              </w:rPr>
            </w:pPr>
            <w:r>
              <w:rPr>
                <w:rFonts w:hint="eastAsia" w:eastAsia="黑体"/>
                <w:b/>
                <w:bCs/>
                <w:sz w:val="28"/>
                <w:szCs w:val="21"/>
              </w:rPr>
              <w:t>政治素质</w:t>
            </w:r>
          </w:p>
        </w:tc>
        <w:tc>
          <w:tcPr>
            <w:tcW w:w="5063" w:type="dxa"/>
            <w:gridSpan w:val="2"/>
            <w:vAlign w:val="center"/>
          </w:tcPr>
          <w:p>
            <w:pPr>
              <w:spacing w:line="380" w:lineRule="exact"/>
              <w:jc w:val="center"/>
              <w:rPr>
                <w:rFonts w:eastAsia="黑体"/>
                <w:b/>
                <w:bCs/>
                <w:sz w:val="28"/>
                <w:szCs w:val="21"/>
              </w:rPr>
            </w:pPr>
            <w:r>
              <w:rPr>
                <w:rFonts w:hint="eastAsia" w:eastAsia="黑体"/>
                <w:b/>
                <w:bCs/>
                <w:sz w:val="28"/>
                <w:szCs w:val="21"/>
              </w:rPr>
              <w:t>创新能力和</w:t>
            </w:r>
            <w:r>
              <w:rPr>
                <w:rFonts w:eastAsia="黑体"/>
                <w:b/>
                <w:bCs/>
                <w:sz w:val="28"/>
                <w:szCs w:val="21"/>
              </w:rPr>
              <w:t>工作实效</w:t>
            </w:r>
          </w:p>
        </w:tc>
        <w:tc>
          <w:tcPr>
            <w:tcW w:w="2592" w:type="dxa"/>
            <w:gridSpan w:val="2"/>
            <w:vAlign w:val="center"/>
          </w:tcPr>
          <w:p>
            <w:pPr>
              <w:spacing w:line="380" w:lineRule="exact"/>
              <w:jc w:val="center"/>
              <w:rPr>
                <w:rFonts w:eastAsia="黑体"/>
                <w:b/>
                <w:bCs/>
                <w:sz w:val="28"/>
                <w:szCs w:val="21"/>
              </w:rPr>
            </w:pPr>
            <w:r>
              <w:rPr>
                <w:rFonts w:hint="eastAsia" w:eastAsia="黑体"/>
                <w:b/>
                <w:bCs/>
                <w:sz w:val="28"/>
                <w:szCs w:val="21"/>
              </w:rPr>
              <w:t>学风品德</w:t>
            </w:r>
          </w:p>
        </w:tc>
        <w:tc>
          <w:tcPr>
            <w:tcW w:w="2123" w:type="dxa"/>
            <w:vAlign w:val="center"/>
          </w:tcPr>
          <w:p>
            <w:pPr>
              <w:spacing w:line="380" w:lineRule="exact"/>
              <w:jc w:val="center"/>
              <w:rPr>
                <w:rFonts w:eastAsia="黑体"/>
                <w:b/>
                <w:bCs/>
                <w:sz w:val="28"/>
                <w:szCs w:val="21"/>
              </w:rPr>
            </w:pPr>
            <w:r>
              <w:rPr>
                <w:rFonts w:eastAsia="黑体"/>
                <w:b/>
                <w:bCs/>
                <w:sz w:val="28"/>
                <w:szCs w:val="21"/>
              </w:rPr>
              <w:t>经费使用</w:t>
            </w:r>
          </w:p>
        </w:tc>
        <w:tc>
          <w:tcPr>
            <w:tcW w:w="822" w:type="dxa"/>
            <w:vMerge w:val="restart"/>
            <w:vAlign w:val="center"/>
          </w:tcPr>
          <w:p>
            <w:pPr>
              <w:spacing w:line="380" w:lineRule="exact"/>
              <w:jc w:val="center"/>
              <w:rPr>
                <w:rFonts w:eastAsia="黑体"/>
                <w:bCs/>
                <w:sz w:val="28"/>
                <w:szCs w:val="21"/>
              </w:rPr>
            </w:pPr>
            <w:r>
              <w:rPr>
                <w:rFonts w:eastAsia="黑体"/>
                <w:bCs/>
                <w:sz w:val="28"/>
                <w:szCs w:val="21"/>
              </w:rPr>
              <w:t>总</w:t>
            </w:r>
          </w:p>
          <w:p>
            <w:pPr>
              <w:spacing w:line="380" w:lineRule="exact"/>
              <w:jc w:val="center"/>
              <w:rPr>
                <w:rFonts w:eastAsia="黑体"/>
                <w:bCs/>
                <w:sz w:val="18"/>
                <w:szCs w:val="18"/>
              </w:rPr>
            </w:pPr>
            <w:r>
              <w:rPr>
                <w:rFonts w:eastAsia="黑体"/>
                <w:bCs/>
                <w:sz w:val="28"/>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jc w:val="center"/>
        </w:trPr>
        <w:tc>
          <w:tcPr>
            <w:tcW w:w="1841" w:type="dxa"/>
            <w:gridSpan w:val="2"/>
            <w:vAlign w:val="center"/>
          </w:tcPr>
          <w:p>
            <w:pPr>
              <w:spacing w:line="380" w:lineRule="exact"/>
              <w:jc w:val="center"/>
              <w:rPr>
                <w:b/>
                <w:bCs/>
                <w:sz w:val="28"/>
                <w:szCs w:val="21"/>
              </w:rPr>
            </w:pPr>
            <w:r>
              <w:rPr>
                <w:b/>
                <w:bCs/>
                <w:sz w:val="28"/>
                <w:szCs w:val="21"/>
              </w:rPr>
              <w:t>分值</w:t>
            </w:r>
          </w:p>
        </w:tc>
        <w:tc>
          <w:tcPr>
            <w:tcW w:w="2410" w:type="dxa"/>
            <w:vAlign w:val="center"/>
          </w:tcPr>
          <w:p>
            <w:pPr>
              <w:spacing w:line="380" w:lineRule="exact"/>
              <w:jc w:val="center"/>
              <w:rPr>
                <w:b/>
                <w:sz w:val="28"/>
                <w:szCs w:val="21"/>
              </w:rPr>
            </w:pPr>
            <w:r>
              <w:rPr>
                <w:b/>
                <w:sz w:val="28"/>
                <w:szCs w:val="21"/>
              </w:rPr>
              <w:t>15</w:t>
            </w:r>
          </w:p>
        </w:tc>
        <w:tc>
          <w:tcPr>
            <w:tcW w:w="5063" w:type="dxa"/>
            <w:gridSpan w:val="2"/>
            <w:vAlign w:val="center"/>
          </w:tcPr>
          <w:p>
            <w:pPr>
              <w:spacing w:line="380" w:lineRule="exact"/>
              <w:ind w:left="843" w:hanging="843" w:hangingChars="300"/>
              <w:jc w:val="center"/>
              <w:rPr>
                <w:b/>
                <w:sz w:val="28"/>
                <w:szCs w:val="21"/>
              </w:rPr>
            </w:pPr>
            <w:r>
              <w:rPr>
                <w:b/>
                <w:sz w:val="28"/>
                <w:szCs w:val="21"/>
              </w:rPr>
              <w:t>60</w:t>
            </w:r>
          </w:p>
        </w:tc>
        <w:tc>
          <w:tcPr>
            <w:tcW w:w="2592" w:type="dxa"/>
            <w:gridSpan w:val="2"/>
            <w:vAlign w:val="center"/>
          </w:tcPr>
          <w:p>
            <w:pPr>
              <w:spacing w:line="380" w:lineRule="exact"/>
              <w:jc w:val="center"/>
              <w:rPr>
                <w:b/>
                <w:sz w:val="28"/>
                <w:szCs w:val="21"/>
              </w:rPr>
            </w:pPr>
            <w:r>
              <w:rPr>
                <w:b/>
                <w:sz w:val="28"/>
                <w:szCs w:val="21"/>
              </w:rPr>
              <w:t>15</w:t>
            </w:r>
          </w:p>
        </w:tc>
        <w:tc>
          <w:tcPr>
            <w:tcW w:w="2123" w:type="dxa"/>
            <w:vAlign w:val="center"/>
          </w:tcPr>
          <w:p>
            <w:pPr>
              <w:spacing w:line="380" w:lineRule="exact"/>
              <w:jc w:val="center"/>
              <w:rPr>
                <w:b/>
                <w:sz w:val="28"/>
                <w:szCs w:val="21"/>
              </w:rPr>
            </w:pPr>
            <w:r>
              <w:rPr>
                <w:b/>
                <w:sz w:val="28"/>
                <w:szCs w:val="21"/>
              </w:rPr>
              <w:t>10</w:t>
            </w:r>
          </w:p>
        </w:tc>
        <w:tc>
          <w:tcPr>
            <w:tcW w:w="822" w:type="dxa"/>
            <w:vMerge w:val="continue"/>
            <w:vAlign w:val="center"/>
          </w:tcPr>
          <w:p>
            <w:pPr>
              <w:spacing w:line="38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5" w:hRule="atLeast"/>
          <w:jc w:val="center"/>
        </w:trPr>
        <w:tc>
          <w:tcPr>
            <w:tcW w:w="1841" w:type="dxa"/>
            <w:gridSpan w:val="2"/>
            <w:vAlign w:val="center"/>
          </w:tcPr>
          <w:p>
            <w:pPr>
              <w:spacing w:line="380" w:lineRule="exact"/>
              <w:jc w:val="center"/>
              <w:rPr>
                <w:szCs w:val="21"/>
              </w:rPr>
            </w:pPr>
            <w:r>
              <w:rPr>
                <w:b/>
                <w:bCs/>
                <w:sz w:val="28"/>
                <w:szCs w:val="21"/>
              </w:rPr>
              <w:t>参考标准</w:t>
            </w:r>
          </w:p>
        </w:tc>
        <w:tc>
          <w:tcPr>
            <w:tcW w:w="2410" w:type="dxa"/>
          </w:tcPr>
          <w:p>
            <w:pPr>
              <w:spacing w:line="340" w:lineRule="exact"/>
              <w:ind w:firstLine="420" w:firstLineChars="200"/>
              <w:rPr>
                <w:szCs w:val="21"/>
              </w:rPr>
            </w:pPr>
            <w:r>
              <w:rPr>
                <w:szCs w:val="21"/>
              </w:rPr>
              <w:t>热爱祖国，信念坚定，贯彻党的路线方针政策，服从组织管理。</w:t>
            </w:r>
            <w:r>
              <w:rPr>
                <w:rFonts w:hint="eastAsia"/>
                <w:szCs w:val="21"/>
              </w:rPr>
              <w:t>重点考核培养对象是否增强“四个意识”、坚定“四个自信”、做到“两个维护”，自觉投身“弘扬爱国奋斗精神，建功立业新时代”活动，在思想上政治上行动上同以习近平同志为核心的党中央保持高度一致</w:t>
            </w:r>
          </w:p>
        </w:tc>
        <w:tc>
          <w:tcPr>
            <w:tcW w:w="5063" w:type="dxa"/>
            <w:gridSpan w:val="2"/>
          </w:tcPr>
          <w:p>
            <w:pPr>
              <w:pStyle w:val="4"/>
              <w:widowControl/>
              <w:spacing w:line="340" w:lineRule="exact"/>
              <w:ind w:firstLine="420" w:firstLineChars="200"/>
              <w:contextualSpacing/>
              <w:rPr>
                <w:rFonts w:hint="eastAsia"/>
                <w:sz w:val="21"/>
                <w:szCs w:val="21"/>
              </w:rPr>
            </w:pPr>
            <w:r>
              <w:rPr>
                <w:sz w:val="21"/>
                <w:szCs w:val="21"/>
              </w:rPr>
              <w:t>具有</w:t>
            </w:r>
            <w:r>
              <w:rPr>
                <w:rFonts w:hint="eastAsia"/>
                <w:sz w:val="21"/>
                <w:szCs w:val="21"/>
              </w:rPr>
              <w:t>扎实</w:t>
            </w:r>
            <w:r>
              <w:rPr>
                <w:sz w:val="21"/>
                <w:szCs w:val="21"/>
              </w:rPr>
              <w:t>的</w:t>
            </w:r>
            <w:r>
              <w:rPr>
                <w:rFonts w:hint="eastAsia"/>
                <w:sz w:val="21"/>
                <w:szCs w:val="21"/>
              </w:rPr>
              <w:t>理论基础</w:t>
            </w:r>
            <w:r>
              <w:rPr>
                <w:sz w:val="21"/>
                <w:szCs w:val="21"/>
              </w:rPr>
              <w:t>和专业水平，自主创新能力强，认真履行岗位职责，学术技术水平在本地区、本行业处于领先地位。具有创新思维，分析解决问题，能够提出前瞻性、创造性的研究构想，引领重大理论与实践问题研究和关键领域攻关，业绩成果显著，作出重要贡献，取得良好经济和社会效益</w:t>
            </w:r>
            <w:r>
              <w:rPr>
                <w:rFonts w:hint="eastAsia"/>
                <w:sz w:val="21"/>
                <w:szCs w:val="21"/>
              </w:rPr>
              <w:t>。培养</w:t>
            </w:r>
            <w:r>
              <w:rPr>
                <w:sz w:val="21"/>
                <w:szCs w:val="21"/>
              </w:rPr>
              <w:t>期内，培养对象外出学习实践时间原则上不少于6个月，国有企事业单位培养对象</w:t>
            </w:r>
            <w:r>
              <w:rPr>
                <w:rFonts w:hint="eastAsia"/>
                <w:sz w:val="21"/>
                <w:szCs w:val="21"/>
              </w:rPr>
              <w:t>应服从组织选派</w:t>
            </w:r>
            <w:r>
              <w:rPr>
                <w:sz w:val="21"/>
                <w:szCs w:val="21"/>
              </w:rPr>
              <w:t>到基层单位脱产挂职服务</w:t>
            </w:r>
            <w:r>
              <w:rPr>
                <w:rFonts w:hint="eastAsia"/>
                <w:sz w:val="21"/>
                <w:szCs w:val="21"/>
              </w:rPr>
              <w:t>；</w:t>
            </w:r>
            <w:r>
              <w:rPr>
                <w:sz w:val="21"/>
                <w:szCs w:val="21"/>
              </w:rPr>
              <w:t>参与或承担课题研究任务或技术攻关项目不少于3项</w:t>
            </w:r>
            <w:r>
              <w:rPr>
                <w:rFonts w:hint="eastAsia"/>
                <w:sz w:val="21"/>
                <w:szCs w:val="21"/>
              </w:rPr>
              <w:t>（</w:t>
            </w:r>
            <w:r>
              <w:rPr>
                <w:sz w:val="21"/>
                <w:szCs w:val="21"/>
              </w:rPr>
              <w:t>国家级和自治区级学术技术带头人后备人选</w:t>
            </w:r>
            <w:r>
              <w:rPr>
                <w:rFonts w:hint="eastAsia"/>
                <w:sz w:val="21"/>
                <w:szCs w:val="21"/>
              </w:rPr>
              <w:t>主持或参与</w:t>
            </w:r>
            <w:r>
              <w:rPr>
                <w:sz w:val="21"/>
                <w:szCs w:val="21"/>
              </w:rPr>
              <w:t>国家级课题不少于1项</w:t>
            </w:r>
            <w:r>
              <w:rPr>
                <w:rFonts w:hint="eastAsia"/>
                <w:sz w:val="21"/>
                <w:szCs w:val="21"/>
              </w:rPr>
              <w:t>）</w:t>
            </w:r>
            <w:r>
              <w:rPr>
                <w:sz w:val="21"/>
                <w:szCs w:val="21"/>
              </w:rPr>
              <w:t>，每年到基层、企业</w:t>
            </w:r>
            <w:r>
              <w:rPr>
                <w:rFonts w:hint="eastAsia"/>
                <w:sz w:val="21"/>
                <w:szCs w:val="21"/>
              </w:rPr>
              <w:t>或</w:t>
            </w:r>
            <w:r>
              <w:rPr>
                <w:sz w:val="21"/>
                <w:szCs w:val="21"/>
              </w:rPr>
              <w:t>生产一线开展服务实践活动</w:t>
            </w:r>
          </w:p>
        </w:tc>
        <w:tc>
          <w:tcPr>
            <w:tcW w:w="2592" w:type="dxa"/>
            <w:gridSpan w:val="2"/>
          </w:tcPr>
          <w:p>
            <w:pPr>
              <w:pStyle w:val="4"/>
              <w:widowControl/>
              <w:spacing w:line="340" w:lineRule="exact"/>
              <w:ind w:firstLine="420" w:firstLineChars="200"/>
              <w:contextualSpacing/>
              <w:rPr>
                <w:sz w:val="21"/>
                <w:szCs w:val="21"/>
              </w:rPr>
            </w:pPr>
            <w:r>
              <w:rPr>
                <w:sz w:val="21"/>
                <w:szCs w:val="21"/>
              </w:rPr>
              <w:t>坚持科学精神，学风正派，团结协作</w:t>
            </w:r>
            <w:r>
              <w:rPr>
                <w:rFonts w:hint="eastAsia"/>
                <w:sz w:val="21"/>
                <w:szCs w:val="21"/>
              </w:rPr>
              <w:t>；</w:t>
            </w:r>
            <w:r>
              <w:rPr>
                <w:sz w:val="21"/>
                <w:szCs w:val="21"/>
              </w:rPr>
              <w:t>恪守</w:t>
            </w:r>
            <w:r>
              <w:rPr>
                <w:rFonts w:hint="eastAsia"/>
                <w:sz w:val="21"/>
                <w:szCs w:val="21"/>
              </w:rPr>
              <w:t>学术道德、</w:t>
            </w:r>
            <w:r>
              <w:rPr>
                <w:sz w:val="21"/>
                <w:szCs w:val="21"/>
              </w:rPr>
              <w:t>职业道德、家庭美德、社会公德，能够在相关领域发挥示范引领作用</w:t>
            </w:r>
            <w:r>
              <w:rPr>
                <w:rFonts w:hint="eastAsia"/>
                <w:sz w:val="21"/>
                <w:szCs w:val="21"/>
              </w:rPr>
              <w:t>，</w:t>
            </w:r>
            <w:r>
              <w:rPr>
                <w:sz w:val="21"/>
                <w:szCs w:val="21"/>
              </w:rPr>
              <w:t>模范遵守法律法规和廉洁自律准则及职业道德</w:t>
            </w:r>
            <w:r>
              <w:rPr>
                <w:rFonts w:hint="eastAsia"/>
                <w:sz w:val="21"/>
                <w:szCs w:val="21"/>
              </w:rPr>
              <w:t>；</w:t>
            </w:r>
            <w:r>
              <w:rPr>
                <w:sz w:val="21"/>
                <w:szCs w:val="21"/>
              </w:rPr>
              <w:t>热爱本职工作，具有较强事业心、进取心、责任心，作风扎实，工作刻苦，群众基础好</w:t>
            </w:r>
          </w:p>
        </w:tc>
        <w:tc>
          <w:tcPr>
            <w:tcW w:w="2123" w:type="dxa"/>
          </w:tcPr>
          <w:p>
            <w:pPr>
              <w:spacing w:line="340" w:lineRule="exact"/>
              <w:ind w:firstLine="420" w:firstLineChars="200"/>
              <w:rPr>
                <w:szCs w:val="21"/>
              </w:rPr>
            </w:pPr>
            <w:r>
              <w:rPr>
                <w:szCs w:val="21"/>
              </w:rPr>
              <w:t>严格按照《宁夏回族自治区人才专项资金管理办法》中关于人才培养方面资金支出规定，建立培养期内培养措施和经费使用计划，合理合规使用专项培养经费，产生了良好专项资金效益</w:t>
            </w:r>
          </w:p>
        </w:tc>
        <w:tc>
          <w:tcPr>
            <w:tcW w:w="822" w:type="dxa"/>
            <w:vMerge w:val="continue"/>
          </w:tcPr>
          <w:p>
            <w:pPr>
              <w:spacing w:line="380" w:lineRule="exact"/>
              <w:ind w:firstLine="360" w:firstLineChars="2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jc w:val="center"/>
        </w:trPr>
        <w:tc>
          <w:tcPr>
            <w:tcW w:w="852" w:type="dxa"/>
            <w:vMerge w:val="restart"/>
            <w:vAlign w:val="center"/>
          </w:tcPr>
          <w:p>
            <w:pPr>
              <w:spacing w:line="380" w:lineRule="exact"/>
              <w:jc w:val="center"/>
              <w:rPr>
                <w:b/>
                <w:bCs/>
                <w:sz w:val="24"/>
                <w:szCs w:val="21"/>
              </w:rPr>
            </w:pPr>
            <w:r>
              <w:rPr>
                <w:b/>
                <w:bCs/>
                <w:sz w:val="24"/>
                <w:szCs w:val="21"/>
              </w:rPr>
              <w:t>等级</w:t>
            </w:r>
          </w:p>
        </w:tc>
        <w:tc>
          <w:tcPr>
            <w:tcW w:w="989" w:type="dxa"/>
            <w:vAlign w:val="center"/>
          </w:tcPr>
          <w:p>
            <w:pPr>
              <w:spacing w:line="380" w:lineRule="exact"/>
              <w:jc w:val="center"/>
              <w:rPr>
                <w:b/>
                <w:bCs/>
                <w:sz w:val="24"/>
                <w:szCs w:val="21"/>
              </w:rPr>
            </w:pPr>
            <w:r>
              <w:rPr>
                <w:b/>
                <w:bCs/>
                <w:sz w:val="24"/>
                <w:szCs w:val="21"/>
              </w:rPr>
              <w:t>优</w:t>
            </w:r>
            <w:r>
              <w:rPr>
                <w:rFonts w:hint="eastAsia"/>
                <w:b/>
                <w:bCs/>
                <w:sz w:val="24"/>
                <w:szCs w:val="21"/>
              </w:rPr>
              <w:t xml:space="preserve">  </w:t>
            </w:r>
            <w:r>
              <w:rPr>
                <w:b/>
                <w:bCs/>
                <w:sz w:val="24"/>
                <w:szCs w:val="21"/>
              </w:rPr>
              <w:t>秀</w:t>
            </w:r>
          </w:p>
        </w:tc>
        <w:tc>
          <w:tcPr>
            <w:tcW w:w="5600" w:type="dxa"/>
            <w:gridSpan w:val="2"/>
            <w:vAlign w:val="center"/>
          </w:tcPr>
          <w:p>
            <w:pPr>
              <w:spacing w:line="380" w:lineRule="exact"/>
              <w:jc w:val="center"/>
              <w:rPr>
                <w:rFonts w:hint="eastAsia"/>
                <w:b/>
                <w:sz w:val="24"/>
                <w:szCs w:val="21"/>
              </w:rPr>
            </w:pPr>
            <w:r>
              <w:rPr>
                <w:rFonts w:hint="eastAsia"/>
                <w:b/>
                <w:sz w:val="24"/>
                <w:szCs w:val="21"/>
              </w:rPr>
              <w:t>12-15</w:t>
            </w:r>
          </w:p>
        </w:tc>
        <w:tc>
          <w:tcPr>
            <w:tcW w:w="2853" w:type="dxa"/>
            <w:gridSpan w:val="2"/>
            <w:vAlign w:val="center"/>
          </w:tcPr>
          <w:p>
            <w:pPr>
              <w:spacing w:line="380" w:lineRule="exact"/>
              <w:jc w:val="center"/>
              <w:rPr>
                <w:rFonts w:hint="eastAsia"/>
                <w:b/>
                <w:sz w:val="24"/>
                <w:szCs w:val="21"/>
              </w:rPr>
            </w:pPr>
            <w:r>
              <w:rPr>
                <w:rFonts w:hint="eastAsia"/>
                <w:b/>
                <w:sz w:val="24"/>
                <w:szCs w:val="21"/>
              </w:rPr>
              <w:t>55-60</w:t>
            </w:r>
          </w:p>
        </w:tc>
        <w:tc>
          <w:tcPr>
            <w:tcW w:w="1612" w:type="dxa"/>
            <w:vAlign w:val="center"/>
          </w:tcPr>
          <w:p>
            <w:pPr>
              <w:spacing w:line="380" w:lineRule="exact"/>
              <w:jc w:val="center"/>
              <w:rPr>
                <w:b/>
                <w:sz w:val="24"/>
                <w:szCs w:val="21"/>
              </w:rPr>
            </w:pPr>
            <w:r>
              <w:rPr>
                <w:b/>
                <w:sz w:val="24"/>
                <w:szCs w:val="21"/>
              </w:rPr>
              <w:t>1</w:t>
            </w:r>
            <w:r>
              <w:rPr>
                <w:rFonts w:hint="eastAsia"/>
                <w:b/>
                <w:sz w:val="24"/>
                <w:szCs w:val="21"/>
              </w:rPr>
              <w:t>4</w:t>
            </w:r>
            <w:r>
              <w:rPr>
                <w:b/>
                <w:sz w:val="24"/>
                <w:szCs w:val="21"/>
              </w:rPr>
              <w:t>-15</w:t>
            </w:r>
          </w:p>
        </w:tc>
        <w:tc>
          <w:tcPr>
            <w:tcW w:w="2123" w:type="dxa"/>
            <w:vAlign w:val="center"/>
          </w:tcPr>
          <w:p>
            <w:pPr>
              <w:spacing w:line="380" w:lineRule="exact"/>
              <w:jc w:val="center"/>
              <w:rPr>
                <w:b/>
                <w:sz w:val="24"/>
                <w:szCs w:val="21"/>
              </w:rPr>
            </w:pPr>
            <w:r>
              <w:rPr>
                <w:rFonts w:hint="eastAsia"/>
                <w:b/>
                <w:sz w:val="24"/>
                <w:szCs w:val="21"/>
              </w:rPr>
              <w:t>9-10</w:t>
            </w:r>
          </w:p>
        </w:tc>
        <w:tc>
          <w:tcPr>
            <w:tcW w:w="822" w:type="dxa"/>
            <w:vMerge w:val="continue"/>
            <w:vAlign w:val="center"/>
          </w:tcPr>
          <w:p>
            <w:pPr>
              <w:spacing w:line="38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852" w:type="dxa"/>
            <w:vMerge w:val="continue"/>
            <w:vAlign w:val="center"/>
          </w:tcPr>
          <w:p>
            <w:pPr>
              <w:spacing w:line="380" w:lineRule="exact"/>
              <w:jc w:val="center"/>
              <w:rPr>
                <w:b/>
                <w:bCs/>
                <w:sz w:val="24"/>
                <w:szCs w:val="21"/>
              </w:rPr>
            </w:pPr>
          </w:p>
        </w:tc>
        <w:tc>
          <w:tcPr>
            <w:tcW w:w="989" w:type="dxa"/>
            <w:vAlign w:val="center"/>
          </w:tcPr>
          <w:p>
            <w:pPr>
              <w:spacing w:line="380" w:lineRule="exact"/>
              <w:jc w:val="center"/>
              <w:rPr>
                <w:rFonts w:hint="eastAsia"/>
                <w:b/>
                <w:bCs/>
                <w:sz w:val="24"/>
                <w:szCs w:val="21"/>
              </w:rPr>
            </w:pPr>
            <w:r>
              <w:rPr>
                <w:rFonts w:hint="eastAsia"/>
                <w:b/>
                <w:bCs/>
                <w:sz w:val="24"/>
                <w:szCs w:val="21"/>
              </w:rPr>
              <w:t>待改进</w:t>
            </w:r>
          </w:p>
        </w:tc>
        <w:tc>
          <w:tcPr>
            <w:tcW w:w="5600" w:type="dxa"/>
            <w:gridSpan w:val="2"/>
            <w:vAlign w:val="center"/>
          </w:tcPr>
          <w:p>
            <w:pPr>
              <w:spacing w:line="380" w:lineRule="exact"/>
              <w:jc w:val="center"/>
              <w:rPr>
                <w:rFonts w:hint="eastAsia"/>
                <w:b/>
                <w:sz w:val="24"/>
                <w:szCs w:val="21"/>
              </w:rPr>
            </w:pPr>
            <w:r>
              <w:rPr>
                <w:rFonts w:hint="eastAsia"/>
                <w:b/>
                <w:sz w:val="24"/>
                <w:szCs w:val="21"/>
              </w:rPr>
              <w:t>8-11</w:t>
            </w:r>
          </w:p>
        </w:tc>
        <w:tc>
          <w:tcPr>
            <w:tcW w:w="2853" w:type="dxa"/>
            <w:gridSpan w:val="2"/>
            <w:vAlign w:val="center"/>
          </w:tcPr>
          <w:p>
            <w:pPr>
              <w:spacing w:line="380" w:lineRule="exact"/>
              <w:jc w:val="center"/>
              <w:rPr>
                <w:rFonts w:hint="eastAsia"/>
                <w:b/>
                <w:sz w:val="24"/>
                <w:szCs w:val="21"/>
              </w:rPr>
            </w:pPr>
            <w:r>
              <w:rPr>
                <w:rFonts w:hint="eastAsia"/>
                <w:b/>
                <w:sz w:val="24"/>
                <w:szCs w:val="21"/>
              </w:rPr>
              <w:t>35-54</w:t>
            </w:r>
          </w:p>
        </w:tc>
        <w:tc>
          <w:tcPr>
            <w:tcW w:w="1612" w:type="dxa"/>
            <w:vAlign w:val="center"/>
          </w:tcPr>
          <w:p>
            <w:pPr>
              <w:spacing w:line="380" w:lineRule="exact"/>
              <w:jc w:val="center"/>
              <w:rPr>
                <w:b/>
                <w:sz w:val="24"/>
                <w:szCs w:val="21"/>
              </w:rPr>
            </w:pPr>
            <w:r>
              <w:rPr>
                <w:rFonts w:hint="eastAsia"/>
                <w:b/>
                <w:sz w:val="24"/>
                <w:szCs w:val="21"/>
              </w:rPr>
              <w:t>11-13</w:t>
            </w:r>
          </w:p>
        </w:tc>
        <w:tc>
          <w:tcPr>
            <w:tcW w:w="2123" w:type="dxa"/>
            <w:vAlign w:val="center"/>
          </w:tcPr>
          <w:p>
            <w:pPr>
              <w:spacing w:line="380" w:lineRule="exact"/>
              <w:jc w:val="center"/>
              <w:rPr>
                <w:rFonts w:hint="eastAsia"/>
                <w:b/>
                <w:sz w:val="24"/>
                <w:szCs w:val="21"/>
              </w:rPr>
            </w:pPr>
            <w:r>
              <w:rPr>
                <w:rFonts w:hint="eastAsia"/>
                <w:b/>
                <w:sz w:val="24"/>
                <w:szCs w:val="21"/>
              </w:rPr>
              <w:t>6-8</w:t>
            </w:r>
          </w:p>
        </w:tc>
        <w:tc>
          <w:tcPr>
            <w:tcW w:w="822" w:type="dxa"/>
            <w:vMerge w:val="continue"/>
            <w:vAlign w:val="center"/>
          </w:tcPr>
          <w:p>
            <w:pPr>
              <w:spacing w:line="38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852" w:type="dxa"/>
            <w:vMerge w:val="continue"/>
            <w:vAlign w:val="center"/>
          </w:tcPr>
          <w:p>
            <w:pPr>
              <w:spacing w:line="380" w:lineRule="exact"/>
              <w:jc w:val="center"/>
              <w:rPr>
                <w:b/>
                <w:bCs/>
                <w:sz w:val="24"/>
                <w:szCs w:val="21"/>
              </w:rPr>
            </w:pPr>
          </w:p>
        </w:tc>
        <w:tc>
          <w:tcPr>
            <w:tcW w:w="989" w:type="dxa"/>
            <w:vAlign w:val="center"/>
          </w:tcPr>
          <w:p>
            <w:pPr>
              <w:spacing w:line="380" w:lineRule="exact"/>
              <w:jc w:val="center"/>
              <w:rPr>
                <w:b/>
                <w:bCs/>
                <w:sz w:val="24"/>
                <w:szCs w:val="21"/>
              </w:rPr>
            </w:pPr>
            <w:r>
              <w:rPr>
                <w:b/>
                <w:bCs/>
                <w:sz w:val="24"/>
                <w:szCs w:val="21"/>
              </w:rPr>
              <w:t>不合格</w:t>
            </w:r>
          </w:p>
        </w:tc>
        <w:tc>
          <w:tcPr>
            <w:tcW w:w="5600" w:type="dxa"/>
            <w:gridSpan w:val="2"/>
            <w:vAlign w:val="center"/>
          </w:tcPr>
          <w:p>
            <w:pPr>
              <w:spacing w:line="380" w:lineRule="exact"/>
              <w:jc w:val="center"/>
              <w:rPr>
                <w:b/>
                <w:sz w:val="24"/>
                <w:szCs w:val="21"/>
              </w:rPr>
            </w:pPr>
            <w:r>
              <w:rPr>
                <w:b/>
                <w:sz w:val="24"/>
                <w:szCs w:val="21"/>
              </w:rPr>
              <w:t>0-</w:t>
            </w:r>
            <w:r>
              <w:rPr>
                <w:rFonts w:hint="eastAsia"/>
                <w:b/>
                <w:sz w:val="24"/>
                <w:szCs w:val="21"/>
              </w:rPr>
              <w:t>7</w:t>
            </w:r>
          </w:p>
        </w:tc>
        <w:tc>
          <w:tcPr>
            <w:tcW w:w="2853" w:type="dxa"/>
            <w:gridSpan w:val="2"/>
            <w:vAlign w:val="center"/>
          </w:tcPr>
          <w:p>
            <w:pPr>
              <w:spacing w:line="380" w:lineRule="exact"/>
              <w:jc w:val="center"/>
              <w:rPr>
                <w:rFonts w:hint="eastAsia"/>
                <w:b/>
                <w:sz w:val="24"/>
                <w:szCs w:val="21"/>
              </w:rPr>
            </w:pPr>
            <w:r>
              <w:rPr>
                <w:b/>
                <w:sz w:val="24"/>
                <w:szCs w:val="21"/>
              </w:rPr>
              <w:t>0-3</w:t>
            </w:r>
            <w:r>
              <w:rPr>
                <w:rFonts w:hint="eastAsia"/>
                <w:b/>
                <w:sz w:val="24"/>
                <w:szCs w:val="21"/>
              </w:rPr>
              <w:t>4</w:t>
            </w:r>
          </w:p>
        </w:tc>
        <w:tc>
          <w:tcPr>
            <w:tcW w:w="1612" w:type="dxa"/>
            <w:vAlign w:val="center"/>
          </w:tcPr>
          <w:p>
            <w:pPr>
              <w:spacing w:line="380" w:lineRule="exact"/>
              <w:jc w:val="center"/>
              <w:rPr>
                <w:b/>
                <w:sz w:val="24"/>
                <w:szCs w:val="21"/>
              </w:rPr>
            </w:pPr>
            <w:r>
              <w:rPr>
                <w:b/>
                <w:sz w:val="24"/>
                <w:szCs w:val="21"/>
              </w:rPr>
              <w:t>0-</w:t>
            </w:r>
            <w:r>
              <w:rPr>
                <w:rFonts w:hint="eastAsia"/>
                <w:b/>
                <w:sz w:val="24"/>
                <w:szCs w:val="21"/>
              </w:rPr>
              <w:t>10</w:t>
            </w:r>
          </w:p>
        </w:tc>
        <w:tc>
          <w:tcPr>
            <w:tcW w:w="2123" w:type="dxa"/>
            <w:vAlign w:val="center"/>
          </w:tcPr>
          <w:p>
            <w:pPr>
              <w:spacing w:line="380" w:lineRule="exact"/>
              <w:jc w:val="center"/>
              <w:rPr>
                <w:b/>
                <w:sz w:val="24"/>
                <w:szCs w:val="21"/>
              </w:rPr>
            </w:pPr>
            <w:r>
              <w:rPr>
                <w:b/>
                <w:sz w:val="24"/>
                <w:szCs w:val="21"/>
              </w:rPr>
              <w:t>0-5</w:t>
            </w:r>
          </w:p>
        </w:tc>
        <w:tc>
          <w:tcPr>
            <w:tcW w:w="822" w:type="dxa"/>
            <w:vMerge w:val="continue"/>
            <w:vAlign w:val="center"/>
          </w:tcPr>
          <w:p>
            <w:pPr>
              <w:spacing w:line="38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1841" w:type="dxa"/>
            <w:gridSpan w:val="2"/>
            <w:vAlign w:val="center"/>
          </w:tcPr>
          <w:p>
            <w:pPr>
              <w:pStyle w:val="4"/>
              <w:widowControl/>
              <w:spacing w:line="380" w:lineRule="exact"/>
              <w:contextualSpacing/>
              <w:jc w:val="center"/>
              <w:rPr>
                <w:b/>
                <w:szCs w:val="18"/>
              </w:rPr>
            </w:pPr>
            <w:r>
              <w:rPr>
                <w:b/>
                <w:bCs/>
                <w:szCs w:val="18"/>
              </w:rPr>
              <w:t>分项得分</w:t>
            </w:r>
          </w:p>
        </w:tc>
        <w:tc>
          <w:tcPr>
            <w:tcW w:w="5600" w:type="dxa"/>
            <w:gridSpan w:val="2"/>
            <w:vAlign w:val="center"/>
          </w:tcPr>
          <w:p>
            <w:pPr>
              <w:pStyle w:val="4"/>
              <w:spacing w:line="380" w:lineRule="exact"/>
              <w:contextualSpacing/>
              <w:jc w:val="center"/>
              <w:rPr>
                <w:b/>
                <w:szCs w:val="18"/>
              </w:rPr>
            </w:pPr>
          </w:p>
        </w:tc>
        <w:tc>
          <w:tcPr>
            <w:tcW w:w="2853" w:type="dxa"/>
            <w:gridSpan w:val="2"/>
            <w:vAlign w:val="center"/>
          </w:tcPr>
          <w:p>
            <w:pPr>
              <w:pStyle w:val="4"/>
              <w:spacing w:line="380" w:lineRule="exact"/>
              <w:contextualSpacing/>
              <w:jc w:val="center"/>
              <w:rPr>
                <w:b/>
                <w:szCs w:val="18"/>
              </w:rPr>
            </w:pPr>
          </w:p>
        </w:tc>
        <w:tc>
          <w:tcPr>
            <w:tcW w:w="1612" w:type="dxa"/>
            <w:vAlign w:val="center"/>
          </w:tcPr>
          <w:p>
            <w:pPr>
              <w:pStyle w:val="4"/>
              <w:spacing w:line="380" w:lineRule="exact"/>
              <w:contextualSpacing/>
              <w:jc w:val="center"/>
              <w:rPr>
                <w:b/>
                <w:szCs w:val="18"/>
              </w:rPr>
            </w:pPr>
          </w:p>
        </w:tc>
        <w:tc>
          <w:tcPr>
            <w:tcW w:w="2123" w:type="dxa"/>
            <w:vAlign w:val="center"/>
          </w:tcPr>
          <w:p>
            <w:pPr>
              <w:pStyle w:val="4"/>
              <w:spacing w:line="380" w:lineRule="exact"/>
              <w:contextualSpacing/>
              <w:jc w:val="center"/>
              <w:rPr>
                <w:b/>
                <w:szCs w:val="18"/>
              </w:rPr>
            </w:pPr>
          </w:p>
        </w:tc>
        <w:tc>
          <w:tcPr>
            <w:tcW w:w="822" w:type="dxa"/>
            <w:vAlign w:val="center"/>
          </w:tcPr>
          <w:p>
            <w:pPr>
              <w:pStyle w:val="4"/>
              <w:widowControl/>
              <w:spacing w:line="380" w:lineRule="exact"/>
              <w:contextualSpacing/>
              <w:jc w:val="center"/>
              <w:rPr>
                <w:b/>
                <w:sz w:val="18"/>
                <w:szCs w:val="18"/>
              </w:rPr>
            </w:pPr>
          </w:p>
        </w:tc>
      </w:tr>
    </w:tbl>
    <w:p>
      <w:pPr>
        <w:tabs>
          <w:tab w:val="left" w:pos="6388"/>
        </w:tabs>
        <w:spacing w:line="380" w:lineRule="exact"/>
        <w:ind w:firstLine="422" w:firstLineChars="200"/>
        <w:jc w:val="left"/>
        <w:rPr>
          <w:szCs w:val="18"/>
        </w:rPr>
      </w:pPr>
      <w:r>
        <w:rPr>
          <w:b/>
          <w:szCs w:val="18"/>
        </w:rPr>
        <w:t>备注：</w:t>
      </w:r>
      <w:r>
        <w:rPr>
          <w:szCs w:val="18"/>
        </w:rPr>
        <w:t>1.</w:t>
      </w:r>
      <w:r>
        <w:rPr>
          <w:rFonts w:hint="eastAsia"/>
          <w:szCs w:val="18"/>
        </w:rPr>
        <w:t>培养</w:t>
      </w:r>
      <w:r>
        <w:rPr>
          <w:szCs w:val="18"/>
        </w:rPr>
        <w:t>单位和主管部门可根据自治区青年拔尖人才考核评分表（样表）制定符合实际的测评表格；2.</w:t>
      </w:r>
      <w:r>
        <w:rPr>
          <w:rFonts w:hint="eastAsia"/>
          <w:szCs w:val="18"/>
        </w:rPr>
        <w:t>创新能力和工作实效</w:t>
      </w:r>
      <w:r>
        <w:rPr>
          <w:szCs w:val="18"/>
        </w:rPr>
        <w:t>相关内容须在学科、专业范畴，相同</w:t>
      </w:r>
      <w:r>
        <w:rPr>
          <w:rFonts w:hint="eastAsia"/>
          <w:szCs w:val="18"/>
        </w:rPr>
        <w:t>项目</w:t>
      </w:r>
      <w:r>
        <w:rPr>
          <w:szCs w:val="18"/>
        </w:rPr>
        <w:t>按最高项</w:t>
      </w:r>
      <w:r>
        <w:rPr>
          <w:rFonts w:hint="eastAsia"/>
          <w:szCs w:val="18"/>
        </w:rPr>
        <w:t>评</w:t>
      </w:r>
      <w:r>
        <w:rPr>
          <w:szCs w:val="18"/>
        </w:rPr>
        <w:t>分；3.人才自评需提供论文、课题、奖项证书等佐证资料，其中复印件须由单位核实加盖公章。</w:t>
      </w:r>
    </w:p>
    <w:p>
      <w:pPr>
        <w:spacing w:line="300" w:lineRule="exact"/>
        <w:jc w:val="left"/>
        <w:rPr>
          <w:rFonts w:eastAsia="黑体"/>
          <w:sz w:val="32"/>
          <w:szCs w:val="48"/>
        </w:rPr>
      </w:pPr>
    </w:p>
    <w:p>
      <w:pPr>
        <w:spacing w:line="300" w:lineRule="exact"/>
        <w:jc w:val="left"/>
        <w:rPr>
          <w:rFonts w:hint="eastAsia" w:eastAsia="方正小标宋简体"/>
          <w:sz w:val="44"/>
          <w:szCs w:val="48"/>
          <w:u w:val="single"/>
        </w:rPr>
      </w:pPr>
      <w:r>
        <w:rPr>
          <w:rFonts w:eastAsia="黑体"/>
          <w:sz w:val="32"/>
          <w:szCs w:val="48"/>
        </w:rPr>
        <w:t>附件</w:t>
      </w:r>
      <w:r>
        <w:rPr>
          <w:rFonts w:hint="eastAsia" w:eastAsia="黑体"/>
          <w:sz w:val="32"/>
          <w:szCs w:val="48"/>
        </w:rPr>
        <w:t>2</w:t>
      </w:r>
    </w:p>
    <w:p>
      <w:pPr>
        <w:spacing w:line="580" w:lineRule="exact"/>
        <w:jc w:val="left"/>
        <w:rPr>
          <w:rFonts w:eastAsia="黑体"/>
          <w:sz w:val="32"/>
          <w:szCs w:val="48"/>
        </w:rPr>
      </w:pPr>
      <w:r>
        <w:rPr>
          <w:rFonts w:eastAsia="黑体"/>
          <w:sz w:val="32"/>
          <w:szCs w:val="48"/>
        </w:rPr>
        <w:t>附件</w:t>
      </w:r>
      <w:r>
        <w:rPr>
          <w:rFonts w:hint="eastAsia" w:eastAsia="黑体"/>
          <w:sz w:val="32"/>
          <w:szCs w:val="48"/>
          <w:lang w:val="en-US" w:eastAsia="zh-CN"/>
        </w:rPr>
        <w:t>2</w:t>
      </w:r>
      <w:bookmarkStart w:id="0" w:name="_GoBack"/>
      <w:bookmarkEnd w:id="0"/>
    </w:p>
    <w:p>
      <w:pPr>
        <w:spacing w:line="480" w:lineRule="exact"/>
        <w:jc w:val="center"/>
        <w:rPr>
          <w:rFonts w:hint="eastAsia" w:eastAsia="方正小标宋简体"/>
          <w:sz w:val="44"/>
          <w:szCs w:val="48"/>
        </w:rPr>
      </w:pPr>
      <w:r>
        <w:rPr>
          <w:rFonts w:hint="eastAsia" w:eastAsia="方正小标宋简体"/>
          <w:sz w:val="44"/>
          <w:szCs w:val="48"/>
          <w:u w:val="single"/>
        </w:rPr>
        <w:t xml:space="preserve">                </w:t>
      </w:r>
      <w:r>
        <w:rPr>
          <w:rFonts w:hint="eastAsia" w:eastAsia="方正小标宋简体"/>
          <w:sz w:val="44"/>
          <w:szCs w:val="48"/>
        </w:rPr>
        <w:t>（培养单位）考核表</w:t>
      </w:r>
    </w:p>
    <w:tbl>
      <w:tblPr>
        <w:tblStyle w:val="6"/>
        <w:tblpPr w:leftFromText="180" w:rightFromText="180" w:vertAnchor="text" w:horzAnchor="page" w:tblpX="1135" w:tblpY="640"/>
        <w:tblOverlap w:val="never"/>
        <w:tblW w:w="14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0"/>
        <w:gridCol w:w="1012"/>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40" w:type="dxa"/>
            <w:vAlign w:val="center"/>
          </w:tcPr>
          <w:p>
            <w:pPr>
              <w:spacing w:line="400" w:lineRule="exact"/>
              <w:jc w:val="center"/>
              <w:rPr>
                <w:rFonts w:hint="eastAsia" w:ascii="黑体" w:hAnsi="黑体" w:eastAsia="黑体" w:cs="黑体"/>
                <w:b/>
                <w:bCs/>
                <w:sz w:val="32"/>
                <w:szCs w:val="36"/>
              </w:rPr>
            </w:pPr>
            <w:r>
              <w:rPr>
                <w:rFonts w:hint="eastAsia" w:ascii="黑体" w:hAnsi="黑体" w:eastAsia="黑体" w:cs="黑体"/>
                <w:b/>
                <w:bCs/>
                <w:sz w:val="32"/>
                <w:szCs w:val="36"/>
              </w:rPr>
              <w:t>考 核 内 容</w:t>
            </w:r>
          </w:p>
        </w:tc>
        <w:tc>
          <w:tcPr>
            <w:tcW w:w="1012" w:type="dxa"/>
            <w:vAlign w:val="center"/>
          </w:tcPr>
          <w:p>
            <w:pPr>
              <w:spacing w:line="400" w:lineRule="exact"/>
              <w:jc w:val="center"/>
              <w:rPr>
                <w:rFonts w:hint="eastAsia" w:ascii="黑体" w:hAnsi="黑体" w:eastAsia="黑体" w:cs="黑体"/>
                <w:b/>
                <w:bCs/>
                <w:sz w:val="32"/>
                <w:szCs w:val="36"/>
              </w:rPr>
            </w:pPr>
            <w:r>
              <w:rPr>
                <w:rFonts w:hint="eastAsia" w:ascii="黑体" w:hAnsi="黑体" w:eastAsia="黑体" w:cs="黑体"/>
                <w:b/>
                <w:bCs/>
                <w:sz w:val="32"/>
                <w:szCs w:val="36"/>
              </w:rPr>
              <w:t>分值</w:t>
            </w:r>
          </w:p>
        </w:tc>
        <w:tc>
          <w:tcPr>
            <w:tcW w:w="1384" w:type="dxa"/>
            <w:vAlign w:val="center"/>
          </w:tcPr>
          <w:p>
            <w:pPr>
              <w:spacing w:line="400" w:lineRule="exact"/>
              <w:jc w:val="center"/>
              <w:rPr>
                <w:rFonts w:hint="eastAsia" w:ascii="黑体" w:hAnsi="黑体" w:eastAsia="黑体" w:cs="黑体"/>
                <w:b/>
                <w:bCs/>
                <w:sz w:val="32"/>
                <w:szCs w:val="36"/>
              </w:rPr>
            </w:pPr>
            <w:r>
              <w:rPr>
                <w:rFonts w:hint="eastAsia" w:ascii="黑体" w:hAnsi="黑体" w:eastAsia="黑体" w:cs="黑体"/>
                <w:b/>
                <w:bCs/>
                <w:sz w:val="32"/>
                <w:szCs w:val="36"/>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2340" w:type="dxa"/>
          </w:tcPr>
          <w:p>
            <w:pPr>
              <w:pStyle w:val="4"/>
              <w:widowControl/>
              <w:spacing w:line="400" w:lineRule="exact"/>
              <w:contextualSpacing/>
              <w:jc w:val="left"/>
              <w:rPr>
                <w:rFonts w:hint="eastAsia" w:ascii="Calibri" w:hAnsi="Calibri" w:eastAsia="仿宋_GB2312"/>
                <w:szCs w:val="24"/>
              </w:rPr>
            </w:pPr>
            <w:r>
              <w:rPr>
                <w:rFonts w:hint="eastAsia" w:ascii="Calibri" w:hAnsi="Calibri" w:eastAsia="仿宋_GB2312"/>
                <w:szCs w:val="24"/>
              </w:rPr>
              <w:t>1. 制定培养计划。为培养对象选聘相应领域的专家学者作为导师，搭建交流互动平台。</w:t>
            </w:r>
          </w:p>
        </w:tc>
        <w:tc>
          <w:tcPr>
            <w:tcW w:w="1012" w:type="dxa"/>
            <w:vAlign w:val="center"/>
          </w:tcPr>
          <w:p>
            <w:pPr>
              <w:spacing w:line="400" w:lineRule="exact"/>
              <w:jc w:val="center"/>
              <w:rPr>
                <w:rFonts w:ascii="Calibri" w:hAnsi="Calibri" w:eastAsia="仿宋_GB2312"/>
                <w:sz w:val="24"/>
                <w:szCs w:val="24"/>
              </w:rPr>
            </w:pPr>
            <w:r>
              <w:rPr>
                <w:rFonts w:hint="eastAsia" w:ascii="Calibri" w:hAnsi="Calibri" w:eastAsia="仿宋_GB2312"/>
                <w:sz w:val="24"/>
                <w:szCs w:val="24"/>
              </w:rPr>
              <w:t>10</w:t>
            </w:r>
          </w:p>
        </w:tc>
        <w:tc>
          <w:tcPr>
            <w:tcW w:w="1384" w:type="dxa"/>
            <w:vAlign w:val="center"/>
          </w:tcPr>
          <w:p>
            <w:pPr>
              <w:spacing w:line="400" w:lineRule="exact"/>
              <w:jc w:val="center"/>
              <w:rPr>
                <w:rFonts w:hint="eastAsia" w:ascii="Calibri" w:hAnsi="Calibri"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12340" w:type="dxa"/>
          </w:tcPr>
          <w:p>
            <w:pPr>
              <w:pStyle w:val="4"/>
              <w:widowControl/>
              <w:spacing w:line="400" w:lineRule="exact"/>
              <w:contextualSpacing/>
              <w:rPr>
                <w:rFonts w:hint="eastAsia" w:ascii="Calibri" w:hAnsi="Calibri" w:eastAsia="仿宋_GB2312"/>
                <w:szCs w:val="24"/>
              </w:rPr>
            </w:pPr>
            <w:r>
              <w:rPr>
                <w:rFonts w:hint="eastAsia" w:ascii="Calibri" w:hAnsi="Calibri" w:eastAsia="仿宋_GB2312"/>
                <w:szCs w:val="24"/>
              </w:rPr>
              <w:t>2. 组织和支持培养对象外出培训考察、学习进修、到基层挂职锻炼，参加国际国内学术交流和实践活动。培养期内，支持培养对象外出学习实践时间原则上不少于6个月。</w:t>
            </w:r>
          </w:p>
        </w:tc>
        <w:tc>
          <w:tcPr>
            <w:tcW w:w="1012" w:type="dxa"/>
            <w:vAlign w:val="center"/>
          </w:tcPr>
          <w:p>
            <w:pPr>
              <w:spacing w:line="400" w:lineRule="exact"/>
              <w:jc w:val="center"/>
              <w:rPr>
                <w:rFonts w:ascii="Calibri" w:hAnsi="Calibri" w:eastAsia="仿宋_GB2312"/>
                <w:sz w:val="24"/>
                <w:szCs w:val="24"/>
              </w:rPr>
            </w:pPr>
            <w:r>
              <w:rPr>
                <w:rFonts w:hint="eastAsia" w:ascii="Calibri" w:hAnsi="Calibri" w:eastAsia="仿宋_GB2312"/>
                <w:sz w:val="24"/>
                <w:szCs w:val="24"/>
              </w:rPr>
              <w:t>15</w:t>
            </w:r>
          </w:p>
        </w:tc>
        <w:tc>
          <w:tcPr>
            <w:tcW w:w="1384" w:type="dxa"/>
            <w:vAlign w:val="center"/>
          </w:tcPr>
          <w:p>
            <w:pPr>
              <w:spacing w:line="400" w:lineRule="exact"/>
              <w:jc w:val="center"/>
              <w:rPr>
                <w:rFonts w:hint="eastAsia" w:ascii="Calibri" w:hAnsi="Calibri"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340" w:type="dxa"/>
          </w:tcPr>
          <w:p>
            <w:pPr>
              <w:spacing w:line="400" w:lineRule="exact"/>
              <w:jc w:val="left"/>
              <w:rPr>
                <w:rFonts w:hint="eastAsia" w:ascii="Calibri" w:hAnsi="Calibri" w:eastAsia="仿宋_GB2312"/>
                <w:sz w:val="24"/>
                <w:szCs w:val="24"/>
              </w:rPr>
            </w:pPr>
            <w:r>
              <w:rPr>
                <w:rFonts w:hint="eastAsia" w:ascii="Calibri" w:hAnsi="Calibri" w:eastAsia="仿宋_GB2312"/>
                <w:sz w:val="24"/>
                <w:szCs w:val="24"/>
              </w:rPr>
              <w:t>3. 鼓励和支持培养对象参与国家重大科研项目、自治区级科技研究和科技攻关项目，参加政策咨询、项目论证、技术改造等科研活动。</w:t>
            </w:r>
          </w:p>
        </w:tc>
        <w:tc>
          <w:tcPr>
            <w:tcW w:w="1012" w:type="dxa"/>
            <w:vAlign w:val="center"/>
          </w:tcPr>
          <w:p>
            <w:pPr>
              <w:spacing w:line="400" w:lineRule="exact"/>
              <w:ind w:firstLine="240" w:firstLineChars="100"/>
              <w:rPr>
                <w:rFonts w:ascii="Calibri" w:hAnsi="Calibri" w:eastAsia="仿宋_GB2312"/>
                <w:sz w:val="24"/>
                <w:szCs w:val="24"/>
              </w:rPr>
            </w:pPr>
            <w:r>
              <w:rPr>
                <w:rFonts w:hint="eastAsia" w:ascii="Calibri" w:hAnsi="Calibri" w:eastAsia="仿宋_GB2312"/>
                <w:sz w:val="24"/>
                <w:szCs w:val="24"/>
              </w:rPr>
              <w:t>20</w:t>
            </w:r>
          </w:p>
        </w:tc>
        <w:tc>
          <w:tcPr>
            <w:tcW w:w="1384" w:type="dxa"/>
            <w:vAlign w:val="center"/>
          </w:tcPr>
          <w:p>
            <w:pPr>
              <w:spacing w:line="400" w:lineRule="exact"/>
              <w:jc w:val="center"/>
              <w:rPr>
                <w:rFonts w:hint="eastAsia" w:ascii="Calibri" w:hAnsi="Calibri" w:eastAsia="方正小标宋简体"/>
                <w:sz w:val="4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trPr>
        <w:tc>
          <w:tcPr>
            <w:tcW w:w="12340" w:type="dxa"/>
          </w:tcPr>
          <w:p>
            <w:pPr>
              <w:pStyle w:val="4"/>
              <w:widowControl/>
              <w:spacing w:line="400" w:lineRule="exact"/>
              <w:contextualSpacing/>
              <w:rPr>
                <w:rFonts w:hint="eastAsia" w:ascii="Calibri" w:hAnsi="Calibri" w:eastAsia="仿宋_GB2312"/>
                <w:szCs w:val="24"/>
              </w:rPr>
            </w:pPr>
            <w:r>
              <w:rPr>
                <w:rFonts w:hint="eastAsia" w:ascii="Calibri" w:hAnsi="Calibri" w:eastAsia="仿宋_GB2312"/>
                <w:szCs w:val="24"/>
              </w:rPr>
              <w:t>4. 组织培养对象参与自治区相关重点建设工程、重点科研项目对接互动，开展技术研讨和项目合作。组织培养对象到基层一线开展科技咨询、技术服务和知识培训等专家基层服务行活动。每年组织培养对象到基层、企业和生产建设一线开展服务实践活动，</w:t>
            </w:r>
            <w:r>
              <w:rPr>
                <w:rFonts w:ascii="Calibri" w:hAnsi="Calibri" w:eastAsia="仿宋_GB2312"/>
                <w:szCs w:val="24"/>
              </w:rPr>
              <w:t>组织和支持</w:t>
            </w:r>
            <w:r>
              <w:rPr>
                <w:rFonts w:hint="eastAsia" w:ascii="Calibri" w:hAnsi="Calibri" w:eastAsia="仿宋_GB2312"/>
                <w:szCs w:val="24"/>
              </w:rPr>
              <w:t>培养对象到基层对口单位脱产挂职服务。</w:t>
            </w:r>
          </w:p>
        </w:tc>
        <w:tc>
          <w:tcPr>
            <w:tcW w:w="1012" w:type="dxa"/>
            <w:vAlign w:val="center"/>
          </w:tcPr>
          <w:p>
            <w:pPr>
              <w:spacing w:line="400" w:lineRule="exact"/>
              <w:jc w:val="center"/>
              <w:rPr>
                <w:rFonts w:ascii="Calibri" w:hAnsi="Calibri" w:eastAsia="仿宋_GB2312"/>
                <w:sz w:val="24"/>
                <w:szCs w:val="24"/>
              </w:rPr>
            </w:pPr>
            <w:r>
              <w:rPr>
                <w:rFonts w:hint="eastAsia" w:ascii="Calibri" w:hAnsi="Calibri" w:eastAsia="仿宋_GB2312"/>
                <w:sz w:val="24"/>
                <w:szCs w:val="24"/>
              </w:rPr>
              <w:t>20</w:t>
            </w:r>
          </w:p>
        </w:tc>
        <w:tc>
          <w:tcPr>
            <w:tcW w:w="1384" w:type="dxa"/>
            <w:vAlign w:val="center"/>
          </w:tcPr>
          <w:p>
            <w:pPr>
              <w:spacing w:line="400" w:lineRule="exact"/>
              <w:jc w:val="center"/>
              <w:rPr>
                <w:rFonts w:ascii="Calibri" w:hAnsi="Calibri" w:eastAsia="方正小标宋简体"/>
                <w:sz w:val="40"/>
                <w:szCs w:val="44"/>
              </w:rPr>
            </w:pPr>
            <w:r>
              <w:rPr>
                <w:rFonts w:hint="eastAsia" w:ascii="Calibri" w:hAnsi="Calibri" w:eastAsia="方正小标宋简体"/>
                <w:sz w:val="40"/>
                <w:szCs w:val="4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12340" w:type="dxa"/>
          </w:tcPr>
          <w:p>
            <w:pPr>
              <w:pStyle w:val="4"/>
              <w:widowControl/>
              <w:spacing w:line="400" w:lineRule="exact"/>
              <w:contextualSpacing/>
              <w:jc w:val="left"/>
              <w:rPr>
                <w:rFonts w:hint="eastAsia" w:ascii="Calibri" w:hAnsi="Calibri" w:eastAsia="仿宋_GB2312"/>
                <w:szCs w:val="24"/>
              </w:rPr>
            </w:pPr>
            <w:r>
              <w:rPr>
                <w:rFonts w:hint="eastAsia" w:ascii="Calibri" w:hAnsi="Calibri" w:eastAsia="仿宋_GB2312"/>
                <w:szCs w:val="24"/>
              </w:rPr>
              <w:t>5.健全完善培养激励机制，在职称评审、岗位聘任、绩效分配和推选先进时，同等条件下优先考虑培养对象。</w:t>
            </w:r>
          </w:p>
        </w:tc>
        <w:tc>
          <w:tcPr>
            <w:tcW w:w="1012" w:type="dxa"/>
            <w:vAlign w:val="center"/>
          </w:tcPr>
          <w:p>
            <w:pPr>
              <w:spacing w:line="400" w:lineRule="exact"/>
              <w:jc w:val="center"/>
              <w:rPr>
                <w:rFonts w:ascii="Calibri" w:hAnsi="Calibri" w:eastAsia="仿宋_GB2312"/>
                <w:sz w:val="24"/>
                <w:szCs w:val="24"/>
              </w:rPr>
            </w:pPr>
            <w:r>
              <w:rPr>
                <w:rFonts w:hint="eastAsia" w:ascii="Calibri" w:hAnsi="Calibri" w:eastAsia="仿宋_GB2312"/>
                <w:sz w:val="24"/>
                <w:szCs w:val="24"/>
              </w:rPr>
              <w:t>10</w:t>
            </w:r>
          </w:p>
        </w:tc>
        <w:tc>
          <w:tcPr>
            <w:tcW w:w="1384" w:type="dxa"/>
            <w:vAlign w:val="center"/>
          </w:tcPr>
          <w:p>
            <w:pPr>
              <w:spacing w:line="400" w:lineRule="exact"/>
              <w:jc w:val="center"/>
              <w:rPr>
                <w:rFonts w:hint="eastAsia" w:ascii="Calibri" w:hAnsi="Calibri" w:eastAsia="方正小标宋简体"/>
                <w:sz w:val="4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2340" w:type="dxa"/>
          </w:tcPr>
          <w:p>
            <w:pPr>
              <w:spacing w:line="400" w:lineRule="exact"/>
              <w:jc w:val="left"/>
              <w:rPr>
                <w:rFonts w:hint="eastAsia" w:ascii="Calibri" w:hAnsi="Calibri" w:eastAsia="仿宋_GB2312"/>
                <w:sz w:val="24"/>
                <w:szCs w:val="24"/>
              </w:rPr>
            </w:pPr>
            <w:r>
              <w:rPr>
                <w:rFonts w:hint="eastAsia" w:ascii="Calibri" w:hAnsi="Calibri" w:eastAsia="仿宋_GB2312"/>
                <w:sz w:val="24"/>
                <w:szCs w:val="24"/>
              </w:rPr>
              <w:t>6.不以任何理由挤占、截留或挪用，确保专款专用。配套相应资金，为培养对象提供经费保障。</w:t>
            </w:r>
          </w:p>
        </w:tc>
        <w:tc>
          <w:tcPr>
            <w:tcW w:w="1012" w:type="dxa"/>
            <w:vAlign w:val="center"/>
          </w:tcPr>
          <w:p>
            <w:pPr>
              <w:spacing w:line="400" w:lineRule="exact"/>
              <w:jc w:val="center"/>
              <w:rPr>
                <w:rFonts w:ascii="Calibri" w:hAnsi="Calibri" w:eastAsia="仿宋_GB2312"/>
                <w:sz w:val="24"/>
                <w:szCs w:val="24"/>
              </w:rPr>
            </w:pPr>
            <w:r>
              <w:rPr>
                <w:rFonts w:hint="eastAsia" w:ascii="Calibri" w:hAnsi="Calibri" w:eastAsia="仿宋_GB2312"/>
                <w:sz w:val="24"/>
                <w:szCs w:val="24"/>
              </w:rPr>
              <w:t>15</w:t>
            </w:r>
          </w:p>
        </w:tc>
        <w:tc>
          <w:tcPr>
            <w:tcW w:w="1384" w:type="dxa"/>
            <w:vAlign w:val="center"/>
          </w:tcPr>
          <w:p>
            <w:pPr>
              <w:spacing w:line="400" w:lineRule="exact"/>
              <w:jc w:val="center"/>
              <w:rPr>
                <w:rFonts w:hint="eastAsia" w:ascii="Calibri" w:hAnsi="Calibri" w:eastAsia="方正小标宋简体"/>
                <w:sz w:val="4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40" w:type="dxa"/>
          </w:tcPr>
          <w:p>
            <w:pPr>
              <w:spacing w:line="400" w:lineRule="exact"/>
              <w:jc w:val="left"/>
              <w:rPr>
                <w:rFonts w:hint="eastAsia" w:ascii="Calibri" w:hAnsi="Calibri" w:eastAsia="仿宋_GB2312"/>
                <w:sz w:val="24"/>
                <w:szCs w:val="24"/>
              </w:rPr>
            </w:pPr>
            <w:r>
              <w:rPr>
                <w:rFonts w:hint="eastAsia" w:ascii="Calibri" w:hAnsi="Calibri" w:eastAsia="仿宋_GB2312"/>
                <w:sz w:val="24"/>
                <w:szCs w:val="24"/>
              </w:rPr>
              <w:t>7.听取培养对象意见情况。</w:t>
            </w:r>
          </w:p>
        </w:tc>
        <w:tc>
          <w:tcPr>
            <w:tcW w:w="1012" w:type="dxa"/>
            <w:vAlign w:val="center"/>
          </w:tcPr>
          <w:p>
            <w:pPr>
              <w:spacing w:line="400" w:lineRule="exact"/>
              <w:jc w:val="center"/>
              <w:rPr>
                <w:rFonts w:ascii="Calibri" w:hAnsi="Calibri" w:eastAsia="仿宋_GB2312"/>
                <w:sz w:val="24"/>
                <w:szCs w:val="24"/>
              </w:rPr>
            </w:pPr>
            <w:r>
              <w:rPr>
                <w:rFonts w:hint="eastAsia" w:ascii="Calibri" w:hAnsi="Calibri" w:eastAsia="仿宋_GB2312"/>
                <w:sz w:val="24"/>
                <w:szCs w:val="24"/>
              </w:rPr>
              <w:t>10</w:t>
            </w:r>
          </w:p>
        </w:tc>
        <w:tc>
          <w:tcPr>
            <w:tcW w:w="1384" w:type="dxa"/>
            <w:vAlign w:val="center"/>
          </w:tcPr>
          <w:p>
            <w:pPr>
              <w:spacing w:line="400" w:lineRule="exact"/>
              <w:jc w:val="center"/>
              <w:rPr>
                <w:rFonts w:hint="eastAsia" w:ascii="Calibri" w:hAnsi="Calibri" w:eastAsia="方正小标宋简体"/>
                <w:sz w:val="4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40" w:type="dxa"/>
          </w:tcPr>
          <w:p>
            <w:pPr>
              <w:spacing w:line="400" w:lineRule="exact"/>
              <w:jc w:val="center"/>
              <w:rPr>
                <w:rFonts w:hint="eastAsia" w:ascii="Calibri" w:hAnsi="Calibri" w:eastAsia="仿宋_GB2312"/>
                <w:sz w:val="28"/>
                <w:szCs w:val="28"/>
              </w:rPr>
            </w:pPr>
            <w:r>
              <w:rPr>
                <w:rFonts w:hint="eastAsia" w:ascii="黑体" w:hAnsi="黑体" w:eastAsia="黑体" w:cs="黑体"/>
                <w:b/>
                <w:bCs/>
                <w:sz w:val="32"/>
                <w:szCs w:val="36"/>
              </w:rPr>
              <w:t>总  分</w:t>
            </w:r>
          </w:p>
        </w:tc>
        <w:tc>
          <w:tcPr>
            <w:tcW w:w="1012" w:type="dxa"/>
          </w:tcPr>
          <w:p>
            <w:pPr>
              <w:spacing w:line="400" w:lineRule="exact"/>
              <w:jc w:val="center"/>
              <w:rPr>
                <w:rFonts w:hint="eastAsia" w:ascii="Calibri" w:hAnsi="Calibri" w:eastAsia="方正小标宋简体"/>
                <w:sz w:val="44"/>
                <w:szCs w:val="48"/>
              </w:rPr>
            </w:pPr>
          </w:p>
        </w:tc>
        <w:tc>
          <w:tcPr>
            <w:tcW w:w="1384" w:type="dxa"/>
          </w:tcPr>
          <w:p>
            <w:pPr>
              <w:spacing w:line="400" w:lineRule="exact"/>
              <w:jc w:val="center"/>
              <w:rPr>
                <w:rFonts w:hint="eastAsia" w:ascii="Calibri" w:hAnsi="Calibri" w:eastAsia="方正小标宋简体"/>
                <w:sz w:val="44"/>
                <w:szCs w:val="48"/>
              </w:rPr>
            </w:pPr>
          </w:p>
        </w:tc>
      </w:tr>
    </w:tbl>
    <w:p>
      <w:pPr>
        <w:spacing w:line="400" w:lineRule="exact"/>
        <w:jc w:val="right"/>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时间：   年    月   日</w:t>
      </w:r>
    </w:p>
    <w:p>
      <w:pPr>
        <w:tabs>
          <w:tab w:val="left" w:pos="6388"/>
        </w:tabs>
        <w:spacing w:line="380" w:lineRule="exact"/>
        <w:ind w:firstLine="420" w:firstLineChars="200"/>
        <w:jc w:val="left"/>
        <w:rPr>
          <w:rFonts w:hint="eastAsia"/>
          <w:szCs w:val="18"/>
        </w:rPr>
      </w:pPr>
      <w:r>
        <w:rPr>
          <w:rFonts w:hint="eastAsia"/>
          <w:szCs w:val="18"/>
        </w:rPr>
        <w:t>说明：考核等次分为优秀、良好、待改进，总分90分以上为优秀，80分以上为良好，80分以下为待改进。</w:t>
      </w:r>
    </w:p>
    <w:p/>
    <w:sectPr>
      <w:pgSz w:w="16840" w:h="11907" w:orient="landscape"/>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汉仪大隶书简">
    <w:altName w:val="宋体"/>
    <w:panose1 w:val="00000000000000000000"/>
    <w:charset w:val="86"/>
    <w:family w:val="modern"/>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方正隶书_GBK">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AMGDT">
    <w:altName w:val="Segoe Print"/>
    <w:panose1 w:val="00000400000000000000"/>
    <w:charset w:val="00"/>
    <w:family w:val="auto"/>
    <w:pitch w:val="default"/>
    <w:sig w:usb0="00000000"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sinSun">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MRVZGK+FZFSK--GBK1-0">
    <w:altName w:val="宋体"/>
    <w:panose1 w:val="00000000000000000000"/>
    <w:charset w:val="86"/>
    <w:family w:val="decorative"/>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宋体,Bold">
    <w:altName w:val="黑体"/>
    <w:panose1 w:val="00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华文隶书">
    <w:panose1 w:val="02010800040101010101"/>
    <w:charset w:val="86"/>
    <w:family w:val="auto"/>
    <w:pitch w:val="default"/>
    <w:sig w:usb0="00000001" w:usb1="080F0000" w:usb2="00000000" w:usb3="00000000" w:csb0="00040000" w:csb1="00000000"/>
  </w:font>
  <w:font w:name="方正隶书简体">
    <w:panose1 w:val="02010601030101010101"/>
    <w:charset w:val="86"/>
    <w:family w:val="script"/>
    <w:pitch w:val="default"/>
    <w:sig w:usb0="00000001" w:usb1="080E0000" w:usb2="00000000" w:usb3="00000000" w:csb0="00040000" w:csb1="00000000"/>
  </w:font>
  <w:font w:name="Helvetica">
    <w:panose1 w:val="020B0604020202020204"/>
    <w:charset w:val="00"/>
    <w:family w:val="auto"/>
    <w:pitch w:val="default"/>
    <w:sig w:usb0="00000000" w:usb1="00000000" w:usb2="00000000" w:usb3="00000000" w:csb0="00000000" w:csb1="00000000"/>
  </w:font>
  <w:font w:name="MS PGothic">
    <w:panose1 w:val="020B0600070205080204"/>
    <w:charset w:val="80"/>
    <w:family w:val="swiss"/>
    <w:pitch w:val="default"/>
    <w:sig w:usb0="E00002FF" w:usb1="6AC7FDFB" w:usb2="00000012" w:usb3="00000000" w:csb0="4002009F" w:csb1="DFD70000"/>
  </w:font>
  <w:font w:name="Symbol">
    <w:panose1 w:val="05050102010706020507"/>
    <w:charset w:val="00"/>
    <w:family w:val="auto"/>
    <w:pitch w:val="default"/>
    <w:sig w:usb0="00000000" w:usb1="00000000" w:usb2="00000000" w:usb3="00000000" w:csb0="80000000" w:csb1="00000000"/>
  </w:font>
  <w:font w:name="Trebuchet MS">
    <w:panose1 w:val="020B0603020202020204"/>
    <w:charset w:val="00"/>
    <w:family w:val="auto"/>
    <w:pitch w:val="default"/>
    <w:sig w:usb0="00000287" w:usb1="00000000" w:usb2="00000000" w:usb3="00000000" w:csb0="2000009F" w:csb1="00000000"/>
  </w:font>
  <w:font w:name="Vani">
    <w:panose1 w:val="020B0502040204020203"/>
    <w:charset w:val="00"/>
    <w:family w:val="auto"/>
    <w:pitch w:val="default"/>
    <w:sig w:usb0="0020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aditional Arabic">
    <w:panose1 w:val="02020603050405020304"/>
    <w:charset w:val="00"/>
    <w:family w:val="auto"/>
    <w:pitch w:val="default"/>
    <w:sig w:usb0="00006003" w:usb1="80000000" w:usb2="00000008" w:usb3="00000000" w:csb0="00000041" w:csb1="20080000"/>
  </w:font>
  <w:font w:name="Lao UI">
    <w:panose1 w:val="020B0502040204020203"/>
    <w:charset w:val="00"/>
    <w:family w:val="auto"/>
    <w:pitch w:val="default"/>
    <w:sig w:usb0="02000003" w:usb1="00000000" w:usb2="00000000" w:usb3="00000000" w:csb0="00000001" w:csb1="00000000"/>
  </w:font>
  <w:font w:name="黑体">
    <w:panose1 w:val="02010609060101010101"/>
    <w:charset w:val="50"/>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nui">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S Mincho">
    <w:panose1 w:val="02020609040205080304"/>
    <w:charset w:val="80"/>
    <w:family w:val="auto"/>
    <w:pitch w:val="default"/>
    <w:sig w:usb0="E00002FF" w:usb1="6AC7FDFB" w:usb2="00000012" w:usb3="00000000" w:csb0="4002009F" w:csb1="DFD70000"/>
  </w:font>
  <w:font w:name="Univers Extended">
    <w:panose1 w:val="020B0605030502020204"/>
    <w:charset w:val="00"/>
    <w:family w:val="auto"/>
    <w:pitch w:val="default"/>
    <w:sig w:usb0="00000000" w:usb1="00000000" w:usb2="00000000" w:usb3="00000000" w:csb0="00000000" w:csb1="00000000"/>
  </w:font>
  <w:font w:name="Univers Condensed">
    <w:panose1 w:val="020B0606020202060204"/>
    <w:charset w:val="00"/>
    <w:family w:val="auto"/>
    <w:pitch w:val="default"/>
    <w:sig w:usb0="00000000" w:usb1="00000000" w:usb2="00000000" w:usb3="00000000" w:csb0="00000000" w:csb1="00000000"/>
  </w:font>
  <w:font w:name="Univers 57 Condensed">
    <w:panose1 w:val="020B0606020202060204"/>
    <w:charset w:val="00"/>
    <w:family w:val="auto"/>
    <w:pitch w:val="default"/>
    <w:sig w:usb0="00000000" w:usb1="00000000" w:usb2="00000000" w:usb3="00000000" w:csb0="00000000" w:csb1="00000000"/>
  </w:font>
  <w:font w:name="Univers 55">
    <w:panose1 w:val="02010603020202030204"/>
    <w:charset w:val="00"/>
    <w:family w:val="auto"/>
    <w:pitch w:val="default"/>
    <w:sig w:usb0="00000000" w:usb1="00000000" w:usb2="00000000" w:usb3="00000000" w:csb0="00000000" w:csb1="00000000"/>
  </w:font>
  <w:font w:name="Univers 45 Light">
    <w:panose1 w:val="00000000000000000000"/>
    <w:charset w:val="00"/>
    <w:family w:val="auto"/>
    <w:pitch w:val="default"/>
    <w:sig w:usb0="00000000" w:usb1="00000000" w:usb2="00000000" w:usb3="00000000" w:csb0="00000000" w:csb1="00000000"/>
  </w:font>
  <w:font w:name="Univers">
    <w:panose1 w:val="020B0603020202030204"/>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Taffy">
    <w:panose1 w:val="00000000000000000000"/>
    <w:charset w:val="00"/>
    <w:family w:val="auto"/>
    <w:pitch w:val="default"/>
    <w:sig w:usb0="00000000" w:usb1="00000000" w:usb2="00000000" w:usb3="00000000" w:csb0="00000000" w:csb1="00000000"/>
  </w:font>
  <w:font w:name="SymbolPS">
    <w:panose1 w:val="05050102010607020607"/>
    <w:charset w:val="00"/>
    <w:family w:val="auto"/>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StempelGaramond Roman">
    <w:panose1 w:val="02020502050306020203"/>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Albertus MT">
    <w:panose1 w:val="020E0602030304020304"/>
    <w:charset w:val="00"/>
    <w:family w:val="auto"/>
    <w:pitch w:val="default"/>
    <w:sig w:usb0="00000000" w:usb1="00000000" w:usb2="00000000" w:usb3="00000000" w:csb0="00000000" w:csb1="00000000"/>
  </w:font>
  <w:font w:name="Albertus MT Lt">
    <w:panose1 w:val="00000000000000000000"/>
    <w:charset w:val="00"/>
    <w:family w:val="auto"/>
    <w:pitch w:val="default"/>
    <w:sig w:usb0="00000000" w:usb1="00000000" w:usb2="00000000" w:usb3="00000000" w:csb0="00000000" w:csb1="00000000"/>
  </w:font>
  <w:font w:name="Andalus">
    <w:panose1 w:val="02020603050405020304"/>
    <w:charset w:val="00"/>
    <w:family w:val="auto"/>
    <w:pitch w:val="default"/>
    <w:sig w:usb0="00002003" w:usb1="80000000" w:usb2="00000008" w:usb3="00000000" w:csb0="00000041" w:csb1="20080000"/>
  </w:font>
  <w:font w:name="AngsanaUPC">
    <w:panose1 w:val="02020603050405020304"/>
    <w:charset w:val="00"/>
    <w:family w:val="auto"/>
    <w:pitch w:val="default"/>
    <w:sig w:usb0="81000003" w:usb1="00000000" w:usb2="00000000" w:usb3="00000000" w:csb0="00010001" w:csb1="00000000"/>
  </w:font>
  <w:font w:name="Antique Olive">
    <w:panose1 w:val="020B0603020204030204"/>
    <w:charset w:val="00"/>
    <w:family w:val="auto"/>
    <w:pitch w:val="default"/>
    <w:sig w:usb0="00000000" w:usb1="00000000" w:usb2="00000000" w:usb3="00000000" w:csb0="00000000" w:csb1="00000000"/>
  </w:font>
  <w:font w:name="Antique Olive Compact">
    <w:panose1 w:val="020B0904030504030204"/>
    <w:charset w:val="00"/>
    <w:family w:val="auto"/>
    <w:pitch w:val="default"/>
    <w:sig w:usb0="00000000" w:usb1="00000000" w:usb2="00000000" w:usb3="00000000" w:csb0="00000000" w:csb1="00000000"/>
  </w:font>
  <w:font w:name="Antique Olive Roman">
    <w:panose1 w:val="020B0603020204030204"/>
    <w:charset w:val="00"/>
    <w:family w:val="auto"/>
    <w:pitch w:val="default"/>
    <w:sig w:usb0="00000000" w:usb1="00000000" w:usb2="00000000" w:usb3="00000000" w:csb0="00000000"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pple Chancery">
    <w:panose1 w:val="03020702040506060504"/>
    <w:charset w:val="00"/>
    <w:family w:val="auto"/>
    <w:pitch w:val="default"/>
    <w:sig w:usb0="00000000" w:usb1="00000000" w:usb2="00000000" w:usb3="00000000" w:csb0="00000000" w:csb1="00000000"/>
  </w:font>
  <w:font w:name="Bodoni">
    <w:panose1 w:val="02070603060706020303"/>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35"/>
    <w:rsid w:val="00057B28"/>
    <w:rsid w:val="00152800"/>
    <w:rsid w:val="00563CFE"/>
    <w:rsid w:val="00865535"/>
    <w:rsid w:val="5BD24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rPr>
      <w:sz w:val="24"/>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235</Words>
  <Characters>1346</Characters>
  <Lines>11</Lines>
  <Paragraphs>3</Paragraphs>
  <TotalTime>0</TotalTime>
  <ScaleCrop>false</ScaleCrop>
  <LinksUpToDate>false</LinksUpToDate>
  <CharactersWithSpaces>1578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2020-06-04T08:03:00Z</dcterms:created>
  <dc:creator>马键</dc:creator>
  <cp:lastModifiedBy>旦世超</cp:lastModifiedBy>
  <dcterms:modified xsi:type="dcterms:W3CDTF">2021-03-03T06:23:46Z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